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0B" w:rsidRPr="0055303B" w:rsidRDefault="00CE4362" w:rsidP="0037070B">
      <w:pPr>
        <w:spacing w:after="120"/>
        <w:jc w:val="center"/>
        <w:rPr>
          <w:rFonts w:ascii="Arial" w:hAnsi="Arial" w:cs="Arial"/>
          <w:b/>
          <w:bCs/>
          <w:sz w:val="28"/>
          <w:szCs w:val="28"/>
        </w:rPr>
      </w:pPr>
      <w:bookmarkStart w:id="0" w:name="_GoBack"/>
      <w:bookmarkEnd w:id="0"/>
      <w:r w:rsidRPr="0055303B">
        <w:rPr>
          <w:rFonts w:ascii="Arial" w:hAnsi="Arial" w:cs="Arial"/>
          <w:b/>
          <w:bCs/>
          <w:sz w:val="28"/>
          <w:szCs w:val="28"/>
        </w:rPr>
        <w:t>Small Businesses Tax Reform</w:t>
      </w:r>
      <w:r w:rsidR="0037070B" w:rsidRPr="0055303B">
        <w:rPr>
          <w:rFonts w:ascii="Arial" w:hAnsi="Arial" w:cs="Arial"/>
          <w:b/>
          <w:bCs/>
          <w:sz w:val="28"/>
          <w:szCs w:val="28"/>
        </w:rPr>
        <w:t xml:space="preserve"> Roundtable</w:t>
      </w:r>
    </w:p>
    <w:p w:rsidR="0037070B" w:rsidRPr="0055303B" w:rsidRDefault="0037070B" w:rsidP="0037070B">
      <w:pPr>
        <w:spacing w:after="120"/>
        <w:jc w:val="center"/>
        <w:rPr>
          <w:rFonts w:ascii="Arial" w:hAnsi="Arial" w:cs="Arial"/>
          <w:b/>
          <w:bCs/>
          <w:i/>
          <w:sz w:val="28"/>
          <w:szCs w:val="28"/>
        </w:rPr>
      </w:pPr>
      <w:r w:rsidRPr="0055303B">
        <w:rPr>
          <w:rFonts w:ascii="Arial" w:hAnsi="Arial" w:cs="Arial"/>
          <w:b/>
          <w:bCs/>
          <w:sz w:val="28"/>
          <w:szCs w:val="28"/>
        </w:rPr>
        <w:t>U.S. Senate Committee on Small Business and Entrepreneurship</w:t>
      </w:r>
    </w:p>
    <w:p w:rsidR="00CE4362" w:rsidRPr="0055303B" w:rsidRDefault="00CE4362" w:rsidP="0037070B">
      <w:pPr>
        <w:rPr>
          <w:rFonts w:ascii="Arial" w:hAnsi="Arial" w:cs="Arial"/>
          <w:b/>
          <w:bCs/>
          <w:sz w:val="22"/>
          <w:szCs w:val="22"/>
        </w:rPr>
      </w:pPr>
    </w:p>
    <w:p w:rsidR="0037070B" w:rsidRPr="0055303B" w:rsidRDefault="0037070B" w:rsidP="0037070B">
      <w:pPr>
        <w:spacing w:after="120"/>
        <w:jc w:val="center"/>
        <w:rPr>
          <w:rFonts w:ascii="Arial" w:hAnsi="Arial" w:cs="Arial"/>
          <w:b/>
          <w:bCs/>
        </w:rPr>
      </w:pPr>
      <w:r w:rsidRPr="0055303B">
        <w:rPr>
          <w:rFonts w:ascii="Arial" w:hAnsi="Arial" w:cs="Arial"/>
          <w:b/>
          <w:bCs/>
        </w:rPr>
        <w:t>Introductory Comments of</w:t>
      </w:r>
    </w:p>
    <w:p w:rsidR="00CE4362" w:rsidRPr="0055303B" w:rsidRDefault="00CE4362" w:rsidP="0037070B">
      <w:pPr>
        <w:spacing w:after="120"/>
        <w:jc w:val="center"/>
        <w:rPr>
          <w:rFonts w:ascii="Arial" w:hAnsi="Arial" w:cs="Arial"/>
          <w:b/>
          <w:bCs/>
        </w:rPr>
      </w:pPr>
      <w:smartTag w:uri="urn:schemas-microsoft-com:office:smarttags" w:element="place">
        <w:smartTag w:uri="urn:schemas-microsoft-com:office:smarttags" w:element="PlaceName">
          <w:r w:rsidRPr="0055303B">
            <w:rPr>
              <w:rFonts w:ascii="Arial" w:hAnsi="Arial" w:cs="Arial"/>
              <w:b/>
              <w:bCs/>
            </w:rPr>
            <w:t>Professor</w:t>
          </w:r>
        </w:smartTag>
        <w:r w:rsidRPr="0055303B">
          <w:rPr>
            <w:rFonts w:ascii="Arial" w:hAnsi="Arial" w:cs="Arial"/>
            <w:b/>
            <w:bCs/>
          </w:rPr>
          <w:t xml:space="preserve"> </w:t>
        </w:r>
        <w:smartTag w:uri="urn:schemas-microsoft-com:office:smarttags" w:element="PersonName">
          <w:smartTag w:uri="urn:schemas-microsoft-com:office:smarttags" w:element="PlaceName">
            <w:r w:rsidRPr="0055303B">
              <w:rPr>
                <w:rFonts w:ascii="Arial" w:hAnsi="Arial" w:cs="Arial"/>
                <w:b/>
                <w:bCs/>
              </w:rPr>
              <w:t>Annette</w:t>
            </w:r>
          </w:smartTag>
          <w:r w:rsidRPr="0055303B">
            <w:rPr>
              <w:rFonts w:ascii="Arial" w:hAnsi="Arial" w:cs="Arial"/>
              <w:b/>
              <w:bCs/>
            </w:rPr>
            <w:t xml:space="preserve"> </w:t>
          </w:r>
          <w:proofErr w:type="spellStart"/>
          <w:smartTag w:uri="urn:schemas-microsoft-com:office:smarttags" w:element="PlaceName">
            <w:r w:rsidRPr="0055303B">
              <w:rPr>
                <w:rFonts w:ascii="Arial" w:hAnsi="Arial" w:cs="Arial"/>
                <w:b/>
                <w:bCs/>
              </w:rPr>
              <w:t>Nellen</w:t>
            </w:r>
          </w:smartTag>
        </w:smartTag>
        <w:proofErr w:type="spellEnd"/>
        <w:r w:rsidRPr="0055303B">
          <w:rPr>
            <w:rFonts w:ascii="Arial" w:hAnsi="Arial" w:cs="Arial"/>
            <w:b/>
            <w:bCs/>
          </w:rPr>
          <w:br/>
        </w:r>
        <w:smartTag w:uri="urn:schemas-microsoft-com:office:smarttags" w:element="PlaceName">
          <w:r w:rsidRPr="0055303B">
            <w:rPr>
              <w:rFonts w:ascii="Arial" w:hAnsi="Arial" w:cs="Arial"/>
              <w:b/>
              <w:bCs/>
            </w:rPr>
            <w:t>San José</w:t>
          </w:r>
        </w:smartTag>
        <w:r w:rsidRPr="0055303B">
          <w:rPr>
            <w:rFonts w:ascii="Arial" w:hAnsi="Arial" w:cs="Arial"/>
            <w:b/>
            <w:bCs/>
          </w:rPr>
          <w:t xml:space="preserve"> </w:t>
        </w:r>
        <w:smartTag w:uri="urn:schemas-microsoft-com:office:smarttags" w:element="PlaceType">
          <w:r w:rsidRPr="0055303B">
            <w:rPr>
              <w:rFonts w:ascii="Arial" w:hAnsi="Arial" w:cs="Arial"/>
              <w:b/>
              <w:bCs/>
            </w:rPr>
            <w:t>State</w:t>
          </w:r>
        </w:smartTag>
        <w:r w:rsidRPr="0055303B">
          <w:rPr>
            <w:rFonts w:ascii="Arial" w:hAnsi="Arial" w:cs="Arial"/>
            <w:b/>
            <w:bCs/>
          </w:rPr>
          <w:t xml:space="preserve"> </w:t>
        </w:r>
        <w:smartTag w:uri="urn:schemas-microsoft-com:office:smarttags" w:element="PlaceType">
          <w:r w:rsidRPr="0055303B">
            <w:rPr>
              <w:rFonts w:ascii="Arial" w:hAnsi="Arial" w:cs="Arial"/>
              <w:b/>
              <w:bCs/>
            </w:rPr>
            <w:t>University</w:t>
          </w:r>
        </w:smartTag>
      </w:smartTag>
      <w:r w:rsidRPr="0055303B">
        <w:rPr>
          <w:rFonts w:ascii="Arial" w:hAnsi="Arial" w:cs="Arial"/>
          <w:b/>
          <w:bCs/>
        </w:rPr>
        <w:br/>
      </w:r>
      <w:hyperlink r:id="rId9" w:history="1">
        <w:r w:rsidRPr="0055303B">
          <w:rPr>
            <w:rStyle w:val="Hyperlink"/>
            <w:rFonts w:ascii="Arial" w:hAnsi="Arial" w:cs="Arial"/>
            <w:b/>
            <w:bCs/>
          </w:rPr>
          <w:t>http://www.21stcenturytaxation.com/</w:t>
        </w:r>
      </w:hyperlink>
      <w:r w:rsidR="003D11C6" w:rsidRPr="0055303B">
        <w:rPr>
          <w:rStyle w:val="FootnoteReference"/>
          <w:rFonts w:ascii="Arial" w:hAnsi="Arial" w:cs="Arial"/>
          <w:b/>
          <w:bCs/>
        </w:rPr>
        <w:footnoteReference w:id="1"/>
      </w:r>
      <w:r w:rsidR="00126D7E" w:rsidRPr="0055303B">
        <w:rPr>
          <w:rFonts w:ascii="Arial" w:hAnsi="Arial" w:cs="Arial"/>
          <w:b/>
          <w:bCs/>
        </w:rPr>
        <w:br/>
      </w:r>
      <w:hyperlink r:id="rId10" w:history="1">
        <w:r w:rsidR="0037070B" w:rsidRPr="0055303B">
          <w:rPr>
            <w:rStyle w:val="Hyperlink"/>
            <w:rFonts w:ascii="Arial" w:hAnsi="Arial" w:cs="Arial"/>
            <w:b/>
            <w:bCs/>
          </w:rPr>
          <w:t>annette.nellen@sjsu.edu</w:t>
        </w:r>
      </w:hyperlink>
    </w:p>
    <w:p w:rsidR="0037070B" w:rsidRPr="0055303B" w:rsidRDefault="0037070B" w:rsidP="0037070B">
      <w:pPr>
        <w:spacing w:after="120"/>
        <w:jc w:val="center"/>
        <w:rPr>
          <w:rFonts w:ascii="Arial" w:hAnsi="Arial" w:cs="Arial"/>
          <w:b/>
          <w:bCs/>
        </w:rPr>
      </w:pPr>
    </w:p>
    <w:p w:rsidR="00CE4362" w:rsidRPr="0055303B" w:rsidRDefault="0037070B" w:rsidP="00CE4362">
      <w:pPr>
        <w:spacing w:after="120"/>
        <w:jc w:val="center"/>
        <w:rPr>
          <w:rFonts w:ascii="Arial" w:hAnsi="Arial" w:cs="Arial"/>
          <w:b/>
          <w:bCs/>
        </w:rPr>
      </w:pPr>
      <w:r w:rsidRPr="0055303B">
        <w:rPr>
          <w:rFonts w:ascii="Arial" w:hAnsi="Arial" w:cs="Arial"/>
          <w:b/>
          <w:bCs/>
        </w:rPr>
        <w:t>July 17, 2013</w:t>
      </w:r>
    </w:p>
    <w:p w:rsidR="00CE4362" w:rsidRPr="0055303B" w:rsidRDefault="00CE4362" w:rsidP="00CE4362">
      <w:pPr>
        <w:spacing w:after="120"/>
        <w:jc w:val="center"/>
        <w:rPr>
          <w:rFonts w:ascii="Arial" w:hAnsi="Arial" w:cs="Arial"/>
          <w:b/>
          <w:bCs/>
          <w:sz w:val="20"/>
          <w:szCs w:val="20"/>
        </w:rPr>
      </w:pPr>
    </w:p>
    <w:p w:rsidR="0055303B" w:rsidRDefault="0055303B" w:rsidP="00BE4511">
      <w:pPr>
        <w:spacing w:after="120"/>
        <w:rPr>
          <w:rFonts w:ascii="Arial" w:hAnsi="Arial" w:cs="Arial"/>
          <w:sz w:val="22"/>
          <w:szCs w:val="22"/>
        </w:rPr>
      </w:pPr>
      <w:r>
        <w:rPr>
          <w:rFonts w:ascii="Arial" w:hAnsi="Arial" w:cs="Arial"/>
          <w:sz w:val="22"/>
          <w:szCs w:val="22"/>
        </w:rPr>
        <w:t>Thank you for discussing tax reform and small business and the invitation to participate</w:t>
      </w:r>
      <w:r w:rsidR="007949CB">
        <w:rPr>
          <w:rFonts w:ascii="Arial" w:hAnsi="Arial" w:cs="Arial"/>
          <w:sz w:val="22"/>
          <w:szCs w:val="22"/>
        </w:rPr>
        <w:t xml:space="preserve"> in today’s roundtable</w:t>
      </w:r>
      <w:r>
        <w:rPr>
          <w:rFonts w:ascii="Arial" w:hAnsi="Arial" w:cs="Arial"/>
          <w:sz w:val="22"/>
          <w:szCs w:val="22"/>
        </w:rPr>
        <w:t>. I</w:t>
      </w:r>
      <w:r w:rsidR="00FB33ED">
        <w:rPr>
          <w:rFonts w:ascii="Arial" w:hAnsi="Arial" w:cs="Arial"/>
          <w:sz w:val="22"/>
          <w:szCs w:val="22"/>
        </w:rPr>
        <w:t xml:space="preserve">’ll </w:t>
      </w:r>
      <w:r w:rsidR="00CF6F18">
        <w:rPr>
          <w:rFonts w:ascii="Arial" w:hAnsi="Arial" w:cs="Arial"/>
          <w:sz w:val="22"/>
          <w:szCs w:val="22"/>
        </w:rPr>
        <w:t>offer</w:t>
      </w:r>
      <w:r>
        <w:rPr>
          <w:rFonts w:ascii="Arial" w:hAnsi="Arial" w:cs="Arial"/>
          <w:sz w:val="22"/>
          <w:szCs w:val="22"/>
        </w:rPr>
        <w:t xml:space="preserve"> </w:t>
      </w:r>
      <w:r w:rsidR="00FB33ED">
        <w:rPr>
          <w:rFonts w:ascii="Arial" w:hAnsi="Arial" w:cs="Arial"/>
          <w:sz w:val="22"/>
          <w:szCs w:val="22"/>
        </w:rPr>
        <w:t>a few</w:t>
      </w:r>
      <w:r>
        <w:rPr>
          <w:rFonts w:ascii="Arial" w:hAnsi="Arial" w:cs="Arial"/>
          <w:sz w:val="22"/>
          <w:szCs w:val="22"/>
        </w:rPr>
        <w:t xml:space="preserve"> points </w:t>
      </w:r>
      <w:r w:rsidR="00CF6F18">
        <w:rPr>
          <w:rFonts w:ascii="Arial" w:hAnsi="Arial" w:cs="Arial"/>
          <w:sz w:val="22"/>
          <w:szCs w:val="22"/>
        </w:rPr>
        <w:t xml:space="preserve">briefly </w:t>
      </w:r>
      <w:r>
        <w:rPr>
          <w:rFonts w:ascii="Arial" w:hAnsi="Arial" w:cs="Arial"/>
          <w:sz w:val="22"/>
          <w:szCs w:val="22"/>
        </w:rPr>
        <w:t>at the start.</w:t>
      </w:r>
      <w:r w:rsidR="00CF6F18">
        <w:rPr>
          <w:rFonts w:ascii="Arial" w:hAnsi="Arial" w:cs="Arial"/>
          <w:sz w:val="22"/>
          <w:szCs w:val="22"/>
        </w:rPr>
        <w:t xml:space="preserve"> I’d be glad to elab</w:t>
      </w:r>
      <w:r w:rsidR="007949CB">
        <w:rPr>
          <w:rFonts w:ascii="Arial" w:hAnsi="Arial" w:cs="Arial"/>
          <w:sz w:val="22"/>
          <w:szCs w:val="22"/>
        </w:rPr>
        <w:t xml:space="preserve">orate further </w:t>
      </w:r>
      <w:r w:rsidR="00CF6F18">
        <w:rPr>
          <w:rFonts w:ascii="Arial" w:hAnsi="Arial" w:cs="Arial"/>
          <w:sz w:val="22"/>
          <w:szCs w:val="22"/>
        </w:rPr>
        <w:t>today and submit detailed written testimony</w:t>
      </w:r>
      <w:r w:rsidR="007949CB">
        <w:rPr>
          <w:rFonts w:ascii="Arial" w:hAnsi="Arial" w:cs="Arial"/>
          <w:sz w:val="22"/>
          <w:szCs w:val="22"/>
        </w:rPr>
        <w:t xml:space="preserve"> on these items</w:t>
      </w:r>
      <w:r w:rsidR="00E763FD">
        <w:rPr>
          <w:rFonts w:ascii="Arial" w:hAnsi="Arial" w:cs="Arial"/>
          <w:sz w:val="22"/>
          <w:szCs w:val="22"/>
        </w:rPr>
        <w:t xml:space="preserve"> </w:t>
      </w:r>
      <w:r w:rsidR="007949CB">
        <w:rPr>
          <w:rFonts w:ascii="Arial" w:hAnsi="Arial" w:cs="Arial"/>
          <w:sz w:val="22"/>
          <w:szCs w:val="22"/>
        </w:rPr>
        <w:t>as well as</w:t>
      </w:r>
      <w:r w:rsidR="00E763FD">
        <w:rPr>
          <w:rFonts w:ascii="Arial" w:hAnsi="Arial" w:cs="Arial"/>
          <w:sz w:val="22"/>
          <w:szCs w:val="22"/>
        </w:rPr>
        <w:t xml:space="preserve"> others raised today</w:t>
      </w:r>
      <w:r w:rsidR="00CF6F18">
        <w:rPr>
          <w:rFonts w:ascii="Arial" w:hAnsi="Arial" w:cs="Arial"/>
          <w:sz w:val="22"/>
          <w:szCs w:val="22"/>
        </w:rPr>
        <w:t>.</w:t>
      </w:r>
    </w:p>
    <w:p w:rsidR="00CF6F18" w:rsidRDefault="00CF6F18" w:rsidP="0055303B">
      <w:pPr>
        <w:numPr>
          <w:ilvl w:val="0"/>
          <w:numId w:val="11"/>
        </w:numPr>
        <w:spacing w:after="120"/>
        <w:rPr>
          <w:rFonts w:ascii="Arial" w:hAnsi="Arial" w:cs="Arial"/>
          <w:sz w:val="22"/>
          <w:szCs w:val="22"/>
        </w:rPr>
      </w:pPr>
      <w:r>
        <w:rPr>
          <w:rFonts w:ascii="Arial" w:hAnsi="Arial" w:cs="Arial"/>
          <w:sz w:val="22"/>
          <w:szCs w:val="22"/>
        </w:rPr>
        <w:t>What is a “small” business? Too many parameters and bases are currently used to define this term. Use the easy ones, such as gross receipts rather than full-time equivalent employees and consider that many small businesses have no employee</w:t>
      </w:r>
      <w:r w:rsidR="00C152DC">
        <w:rPr>
          <w:rFonts w:ascii="Arial" w:hAnsi="Arial" w:cs="Arial"/>
          <w:sz w:val="22"/>
          <w:szCs w:val="22"/>
        </w:rPr>
        <w:t>s</w:t>
      </w:r>
      <w:r>
        <w:rPr>
          <w:rFonts w:ascii="Arial" w:hAnsi="Arial" w:cs="Arial"/>
          <w:sz w:val="22"/>
          <w:szCs w:val="22"/>
        </w:rPr>
        <w:t>.</w:t>
      </w:r>
    </w:p>
    <w:p w:rsidR="00CF6F18" w:rsidRDefault="00256D7A" w:rsidP="0055303B">
      <w:pPr>
        <w:numPr>
          <w:ilvl w:val="0"/>
          <w:numId w:val="11"/>
        </w:numPr>
        <w:spacing w:after="120"/>
        <w:rPr>
          <w:rFonts w:ascii="Arial" w:hAnsi="Arial" w:cs="Arial"/>
          <w:sz w:val="22"/>
          <w:szCs w:val="22"/>
        </w:rPr>
      </w:pPr>
      <w:r>
        <w:rPr>
          <w:rFonts w:ascii="Arial" w:hAnsi="Arial" w:cs="Arial"/>
          <w:sz w:val="22"/>
          <w:szCs w:val="22"/>
        </w:rPr>
        <w:t xml:space="preserve">Consider trends to help </w:t>
      </w:r>
      <w:r w:rsidR="009041DD">
        <w:rPr>
          <w:rFonts w:ascii="Arial" w:hAnsi="Arial" w:cs="Arial"/>
          <w:sz w:val="22"/>
          <w:szCs w:val="22"/>
        </w:rPr>
        <w:t>modernize</w:t>
      </w:r>
      <w:r>
        <w:rPr>
          <w:rFonts w:ascii="Arial" w:hAnsi="Arial" w:cs="Arial"/>
          <w:sz w:val="22"/>
          <w:szCs w:val="22"/>
        </w:rPr>
        <w:t xml:space="preserve"> our tax system. These include growth in numbers of self-employed entrepreneurs</w:t>
      </w:r>
      <w:r w:rsidR="00F71C7D">
        <w:rPr>
          <w:rFonts w:ascii="Arial" w:hAnsi="Arial" w:cs="Arial"/>
          <w:sz w:val="22"/>
          <w:szCs w:val="22"/>
        </w:rPr>
        <w:t xml:space="preserve">, </w:t>
      </w:r>
      <w:r w:rsidR="00577B91">
        <w:rPr>
          <w:rFonts w:ascii="Arial" w:hAnsi="Arial" w:cs="Arial"/>
          <w:sz w:val="22"/>
          <w:szCs w:val="22"/>
        </w:rPr>
        <w:t xml:space="preserve">working out of your home, </w:t>
      </w:r>
      <w:r w:rsidR="00F71C7D">
        <w:rPr>
          <w:rFonts w:ascii="Arial" w:hAnsi="Arial" w:cs="Arial"/>
          <w:sz w:val="22"/>
          <w:szCs w:val="22"/>
        </w:rPr>
        <w:t>greater focus on intangible assets,</w:t>
      </w:r>
      <w:r>
        <w:rPr>
          <w:rFonts w:ascii="Arial" w:hAnsi="Arial" w:cs="Arial"/>
          <w:sz w:val="22"/>
          <w:szCs w:val="22"/>
        </w:rPr>
        <w:t xml:space="preserve"> and the reality that today, any size business is likely involved in international and multistate operations.</w:t>
      </w:r>
    </w:p>
    <w:p w:rsidR="00F71C7D" w:rsidRDefault="00F71C7D" w:rsidP="0055303B">
      <w:pPr>
        <w:numPr>
          <w:ilvl w:val="0"/>
          <w:numId w:val="11"/>
        </w:numPr>
        <w:spacing w:after="120"/>
        <w:rPr>
          <w:rFonts w:ascii="Arial" w:hAnsi="Arial" w:cs="Arial"/>
          <w:sz w:val="22"/>
          <w:szCs w:val="22"/>
        </w:rPr>
      </w:pPr>
      <w:r>
        <w:rPr>
          <w:rFonts w:ascii="Arial" w:hAnsi="Arial" w:cs="Arial"/>
          <w:sz w:val="22"/>
          <w:szCs w:val="22"/>
        </w:rPr>
        <w:t>Consider appropriate use of technology to ease compliance. Why can’t filing of a return, W-2s and 1099s be as easy for a small business as ordering something from Amazon?</w:t>
      </w:r>
    </w:p>
    <w:p w:rsidR="00F71C7D" w:rsidRPr="00C152DC" w:rsidRDefault="00F71C7D" w:rsidP="00C152DC">
      <w:pPr>
        <w:numPr>
          <w:ilvl w:val="0"/>
          <w:numId w:val="11"/>
        </w:numPr>
        <w:spacing w:after="120"/>
        <w:rPr>
          <w:rFonts w:ascii="Arial" w:hAnsi="Arial" w:cs="Arial"/>
          <w:sz w:val="22"/>
          <w:szCs w:val="22"/>
        </w:rPr>
      </w:pPr>
      <w:r>
        <w:rPr>
          <w:rFonts w:ascii="Arial" w:hAnsi="Arial" w:cs="Arial"/>
          <w:sz w:val="22"/>
          <w:szCs w:val="22"/>
        </w:rPr>
        <w:t>Improve equity among rules such as allowing self-employed to deduct health insurance in computing self-e</w:t>
      </w:r>
      <w:r w:rsidR="005A3EA6">
        <w:rPr>
          <w:rFonts w:ascii="Arial" w:hAnsi="Arial" w:cs="Arial"/>
          <w:sz w:val="22"/>
          <w:szCs w:val="22"/>
        </w:rPr>
        <w:t>mployment tax</w:t>
      </w:r>
      <w:r>
        <w:rPr>
          <w:rFonts w:ascii="Arial" w:hAnsi="Arial" w:cs="Arial"/>
          <w:sz w:val="22"/>
          <w:szCs w:val="22"/>
        </w:rPr>
        <w:t xml:space="preserve">, and </w:t>
      </w:r>
      <w:r w:rsidR="00BB4DDF">
        <w:rPr>
          <w:rFonts w:ascii="Arial" w:hAnsi="Arial" w:cs="Arial"/>
          <w:sz w:val="22"/>
          <w:szCs w:val="22"/>
        </w:rPr>
        <w:t xml:space="preserve">enabling similar </w:t>
      </w:r>
      <w:r w:rsidRPr="00BB4DDF">
        <w:rPr>
          <w:rFonts w:ascii="Arial" w:hAnsi="Arial" w:cs="Arial"/>
          <w:sz w:val="22"/>
          <w:szCs w:val="22"/>
        </w:rPr>
        <w:t>funding access</w:t>
      </w:r>
      <w:r w:rsidR="007949CB">
        <w:rPr>
          <w:rFonts w:ascii="Arial" w:hAnsi="Arial" w:cs="Arial"/>
          <w:sz w:val="22"/>
          <w:szCs w:val="22"/>
        </w:rPr>
        <w:t xml:space="preserve"> among entity types,</w:t>
      </w:r>
      <w:r w:rsidRPr="00BB4DDF">
        <w:rPr>
          <w:rFonts w:ascii="Arial" w:hAnsi="Arial" w:cs="Arial"/>
          <w:sz w:val="22"/>
          <w:szCs w:val="22"/>
        </w:rPr>
        <w:t xml:space="preserve"> such as through Sections 1202 and 1244.</w:t>
      </w:r>
      <w:r w:rsidR="00C152DC">
        <w:rPr>
          <w:rFonts w:ascii="Arial" w:hAnsi="Arial" w:cs="Arial"/>
          <w:sz w:val="22"/>
          <w:szCs w:val="22"/>
        </w:rPr>
        <w:t xml:space="preserve"> </w:t>
      </w:r>
      <w:r w:rsidR="00C152DC" w:rsidRPr="00BB4DDF">
        <w:rPr>
          <w:rFonts w:ascii="Arial" w:hAnsi="Arial" w:cs="Arial"/>
          <w:sz w:val="22"/>
          <w:szCs w:val="22"/>
        </w:rPr>
        <w:t>Be sure the research credit includes R&amp;D on cloud computing solutions and helps start-ups with a partially refundable credit.</w:t>
      </w:r>
    </w:p>
    <w:p w:rsidR="00BB4DDF" w:rsidRPr="00BB4DDF" w:rsidRDefault="00BB4DDF" w:rsidP="0055303B">
      <w:pPr>
        <w:numPr>
          <w:ilvl w:val="0"/>
          <w:numId w:val="11"/>
        </w:numPr>
        <w:spacing w:after="120"/>
        <w:rPr>
          <w:rFonts w:ascii="Arial" w:hAnsi="Arial" w:cs="Arial"/>
          <w:sz w:val="22"/>
          <w:szCs w:val="22"/>
        </w:rPr>
      </w:pPr>
      <w:r>
        <w:rPr>
          <w:rFonts w:ascii="Arial" w:hAnsi="Arial" w:cs="Arial"/>
          <w:sz w:val="22"/>
          <w:szCs w:val="22"/>
        </w:rPr>
        <w:t xml:space="preserve">Improve certainty for inherently complex rules, such as worker classification, by allowing use of a safe harbor Q&amp;A </w:t>
      </w:r>
      <w:proofErr w:type="spellStart"/>
      <w:r>
        <w:rPr>
          <w:rFonts w:ascii="Arial" w:hAnsi="Arial" w:cs="Arial"/>
          <w:sz w:val="22"/>
          <w:szCs w:val="22"/>
        </w:rPr>
        <w:t>checksheet</w:t>
      </w:r>
      <w:proofErr w:type="spellEnd"/>
      <w:r>
        <w:rPr>
          <w:rFonts w:ascii="Arial" w:hAnsi="Arial" w:cs="Arial"/>
          <w:sz w:val="22"/>
          <w:szCs w:val="22"/>
        </w:rPr>
        <w:t>.</w:t>
      </w:r>
    </w:p>
    <w:p w:rsidR="00BF5623" w:rsidRPr="00BB4DDF" w:rsidRDefault="00BF5623" w:rsidP="0055303B">
      <w:pPr>
        <w:numPr>
          <w:ilvl w:val="0"/>
          <w:numId w:val="11"/>
        </w:numPr>
        <w:spacing w:after="120"/>
        <w:rPr>
          <w:rFonts w:ascii="Arial" w:hAnsi="Arial" w:cs="Arial"/>
          <w:sz w:val="22"/>
          <w:szCs w:val="22"/>
        </w:rPr>
      </w:pPr>
      <w:r w:rsidRPr="00BB4DDF">
        <w:rPr>
          <w:rFonts w:ascii="Arial" w:hAnsi="Arial" w:cs="Arial"/>
          <w:sz w:val="22"/>
          <w:szCs w:val="22"/>
        </w:rPr>
        <w:t xml:space="preserve">Include measures to reduce the tax gap to help reach revenue-neutral reform and improve </w:t>
      </w:r>
      <w:r w:rsidR="005A3EA6">
        <w:rPr>
          <w:rFonts w:ascii="Arial" w:hAnsi="Arial" w:cs="Arial"/>
          <w:sz w:val="22"/>
          <w:szCs w:val="22"/>
        </w:rPr>
        <w:t>fairness</w:t>
      </w:r>
      <w:r w:rsidRPr="00BB4DDF">
        <w:rPr>
          <w:rFonts w:ascii="Arial" w:hAnsi="Arial" w:cs="Arial"/>
          <w:sz w:val="22"/>
          <w:szCs w:val="22"/>
        </w:rPr>
        <w:t xml:space="preserve"> among taxpayers.</w:t>
      </w:r>
    </w:p>
    <w:p w:rsidR="00BB4DDF" w:rsidRDefault="00BB4DDF" w:rsidP="00BB4DDF">
      <w:pPr>
        <w:numPr>
          <w:ilvl w:val="0"/>
          <w:numId w:val="11"/>
        </w:numPr>
        <w:spacing w:after="120"/>
        <w:rPr>
          <w:rFonts w:ascii="Arial" w:hAnsi="Arial" w:cs="Arial"/>
          <w:sz w:val="22"/>
          <w:szCs w:val="22"/>
        </w:rPr>
      </w:pPr>
      <w:r w:rsidRPr="00BB4DDF">
        <w:rPr>
          <w:rFonts w:ascii="Arial" w:hAnsi="Arial" w:cs="Arial"/>
          <w:sz w:val="22"/>
          <w:szCs w:val="22"/>
        </w:rPr>
        <w:t xml:space="preserve">Encourage and help states to join in </w:t>
      </w:r>
      <w:r w:rsidR="005A3EA6">
        <w:rPr>
          <w:rFonts w:ascii="Arial" w:hAnsi="Arial" w:cs="Arial"/>
          <w:sz w:val="22"/>
          <w:szCs w:val="22"/>
        </w:rPr>
        <w:t>tax reform</w:t>
      </w:r>
      <w:r w:rsidRPr="00BB4DDF">
        <w:rPr>
          <w:rFonts w:ascii="Arial" w:hAnsi="Arial" w:cs="Arial"/>
          <w:sz w:val="22"/>
          <w:szCs w:val="22"/>
        </w:rPr>
        <w:t xml:space="preserve"> to ensure small businesses don’t continue to face complexity at the state level.</w:t>
      </w:r>
    </w:p>
    <w:p w:rsidR="00C152DC" w:rsidRDefault="00BB4DDF" w:rsidP="00C4460F">
      <w:pPr>
        <w:numPr>
          <w:ilvl w:val="0"/>
          <w:numId w:val="11"/>
        </w:numPr>
        <w:spacing w:after="120"/>
        <w:rPr>
          <w:rFonts w:ascii="Arial" w:hAnsi="Arial" w:cs="Arial"/>
          <w:sz w:val="22"/>
          <w:szCs w:val="22"/>
        </w:rPr>
      </w:pPr>
      <w:r w:rsidRPr="00BB4DDF">
        <w:rPr>
          <w:rFonts w:ascii="Arial" w:hAnsi="Arial" w:cs="Arial"/>
          <w:sz w:val="22"/>
          <w:szCs w:val="22"/>
        </w:rPr>
        <w:t>Simplify!  If you cannot describe in a few simple sentences how a</w:t>
      </w:r>
      <w:r w:rsidR="00186487">
        <w:rPr>
          <w:rFonts w:ascii="Arial" w:hAnsi="Arial" w:cs="Arial"/>
          <w:sz w:val="22"/>
          <w:szCs w:val="22"/>
        </w:rPr>
        <w:t xml:space="preserve"> rule works or </w:t>
      </w:r>
      <w:r w:rsidRPr="00BB4DDF">
        <w:rPr>
          <w:rFonts w:ascii="Arial" w:hAnsi="Arial" w:cs="Arial"/>
          <w:sz w:val="22"/>
          <w:szCs w:val="22"/>
        </w:rPr>
        <w:t>it requires alte</w:t>
      </w:r>
      <w:r w:rsidR="00186487">
        <w:rPr>
          <w:rFonts w:ascii="Arial" w:hAnsi="Arial" w:cs="Arial"/>
          <w:sz w:val="22"/>
          <w:szCs w:val="22"/>
        </w:rPr>
        <w:t>rnative calculations</w:t>
      </w:r>
      <w:r w:rsidRPr="00BB4DDF">
        <w:rPr>
          <w:rFonts w:ascii="Arial" w:hAnsi="Arial" w:cs="Arial"/>
          <w:sz w:val="22"/>
          <w:szCs w:val="22"/>
        </w:rPr>
        <w:t xml:space="preserve">, the rule is not simple and either needs to be revised or repealed. </w:t>
      </w:r>
    </w:p>
    <w:p w:rsidR="00C152DC" w:rsidRDefault="00BB4DDF" w:rsidP="00C152DC">
      <w:pPr>
        <w:numPr>
          <w:ilvl w:val="1"/>
          <w:numId w:val="11"/>
        </w:numPr>
        <w:spacing w:after="120"/>
        <w:rPr>
          <w:rFonts w:ascii="Arial" w:hAnsi="Arial" w:cs="Arial"/>
          <w:sz w:val="22"/>
          <w:szCs w:val="22"/>
        </w:rPr>
      </w:pPr>
      <w:r w:rsidRPr="00BB4DDF">
        <w:rPr>
          <w:rFonts w:ascii="Arial" w:hAnsi="Arial" w:cs="Arial"/>
          <w:sz w:val="22"/>
          <w:szCs w:val="22"/>
        </w:rPr>
        <w:t>Recognize that for small businesses, simplifica</w:t>
      </w:r>
      <w:r w:rsidR="00186487">
        <w:rPr>
          <w:rFonts w:ascii="Arial" w:hAnsi="Arial" w:cs="Arial"/>
          <w:sz w:val="22"/>
          <w:szCs w:val="22"/>
        </w:rPr>
        <w:t>tion may trump accuracy. F</w:t>
      </w:r>
      <w:r w:rsidRPr="00BB4DDF">
        <w:rPr>
          <w:rFonts w:ascii="Arial" w:hAnsi="Arial" w:cs="Arial"/>
          <w:sz w:val="22"/>
          <w:szCs w:val="22"/>
        </w:rPr>
        <w:t xml:space="preserve">or example, a standard deduction for home office </w:t>
      </w:r>
      <w:proofErr w:type="gramStart"/>
      <w:r w:rsidRPr="00BB4DDF">
        <w:rPr>
          <w:rFonts w:ascii="Arial" w:hAnsi="Arial" w:cs="Arial"/>
          <w:sz w:val="22"/>
          <w:szCs w:val="22"/>
        </w:rPr>
        <w:t>expenses,</w:t>
      </w:r>
      <w:proofErr w:type="gramEnd"/>
      <w:r w:rsidRPr="00BB4DDF">
        <w:rPr>
          <w:rFonts w:ascii="Arial" w:hAnsi="Arial" w:cs="Arial"/>
          <w:sz w:val="22"/>
          <w:szCs w:val="22"/>
        </w:rPr>
        <w:t xml:space="preserve"> may be warranted to </w:t>
      </w:r>
      <w:r w:rsidRPr="00BB4DDF">
        <w:rPr>
          <w:rFonts w:ascii="Arial" w:hAnsi="Arial" w:cs="Arial"/>
          <w:sz w:val="22"/>
          <w:szCs w:val="22"/>
        </w:rPr>
        <w:lastRenderedPageBreak/>
        <w:t xml:space="preserve">simplify compliance. Or, tax forms may need to be consolidated, such as is allowed for employers of household employees. </w:t>
      </w:r>
    </w:p>
    <w:p w:rsidR="00C152DC" w:rsidRDefault="00BB4DDF" w:rsidP="00C152DC">
      <w:pPr>
        <w:numPr>
          <w:ilvl w:val="1"/>
          <w:numId w:val="11"/>
        </w:numPr>
        <w:spacing w:after="120"/>
        <w:rPr>
          <w:rFonts w:ascii="Arial" w:hAnsi="Arial" w:cs="Arial"/>
          <w:sz w:val="22"/>
          <w:szCs w:val="22"/>
        </w:rPr>
      </w:pPr>
      <w:r w:rsidRPr="00BB4DDF">
        <w:rPr>
          <w:rFonts w:ascii="Arial" w:hAnsi="Arial" w:cs="Arial"/>
          <w:sz w:val="22"/>
          <w:szCs w:val="22"/>
        </w:rPr>
        <w:t>Avoid temporary provisions and numerous changes that complicate the tax law and increase compliance costs.</w:t>
      </w:r>
      <w:r w:rsidR="00C4460F">
        <w:rPr>
          <w:rFonts w:ascii="Arial" w:hAnsi="Arial" w:cs="Arial"/>
          <w:sz w:val="22"/>
          <w:szCs w:val="22"/>
        </w:rPr>
        <w:t xml:space="preserve"> </w:t>
      </w:r>
    </w:p>
    <w:p w:rsidR="00BB4DDF" w:rsidRDefault="00C4460F" w:rsidP="00C152DC">
      <w:pPr>
        <w:numPr>
          <w:ilvl w:val="1"/>
          <w:numId w:val="11"/>
        </w:numPr>
        <w:spacing w:after="120"/>
        <w:rPr>
          <w:rFonts w:ascii="Arial" w:hAnsi="Arial" w:cs="Arial"/>
          <w:sz w:val="22"/>
          <w:szCs w:val="22"/>
        </w:rPr>
      </w:pPr>
      <w:r w:rsidRPr="00BB4DDF">
        <w:rPr>
          <w:rFonts w:ascii="Arial" w:hAnsi="Arial" w:cs="Arial"/>
          <w:sz w:val="22"/>
          <w:szCs w:val="22"/>
        </w:rPr>
        <w:t xml:space="preserve">Simplify depreciation by expanding Section 179 to a permanent, inflation-adjusted large dollar amount </w:t>
      </w:r>
      <w:r w:rsidR="00C152DC">
        <w:rPr>
          <w:rFonts w:ascii="Arial" w:hAnsi="Arial" w:cs="Arial"/>
          <w:sz w:val="22"/>
          <w:szCs w:val="22"/>
        </w:rPr>
        <w:t>that also</w:t>
      </w:r>
      <w:r w:rsidRPr="00BB4DDF">
        <w:rPr>
          <w:rFonts w:ascii="Arial" w:hAnsi="Arial" w:cs="Arial"/>
          <w:sz w:val="22"/>
          <w:szCs w:val="22"/>
        </w:rPr>
        <w:t xml:space="preserve"> cover</w:t>
      </w:r>
      <w:r w:rsidR="00C152DC">
        <w:rPr>
          <w:rFonts w:ascii="Arial" w:hAnsi="Arial" w:cs="Arial"/>
          <w:sz w:val="22"/>
          <w:szCs w:val="22"/>
        </w:rPr>
        <w:t>s</w:t>
      </w:r>
      <w:r w:rsidRPr="00BB4DDF">
        <w:rPr>
          <w:rFonts w:ascii="Arial" w:hAnsi="Arial" w:cs="Arial"/>
          <w:sz w:val="22"/>
          <w:szCs w:val="22"/>
        </w:rPr>
        <w:t xml:space="preserve"> </w:t>
      </w:r>
      <w:r>
        <w:rPr>
          <w:rFonts w:ascii="Arial" w:hAnsi="Arial" w:cs="Arial"/>
          <w:sz w:val="22"/>
          <w:szCs w:val="22"/>
        </w:rPr>
        <w:t xml:space="preserve">all </w:t>
      </w:r>
      <w:r w:rsidRPr="00BB4DDF">
        <w:rPr>
          <w:rFonts w:ascii="Arial" w:hAnsi="Arial" w:cs="Arial"/>
          <w:sz w:val="22"/>
          <w:szCs w:val="22"/>
        </w:rPr>
        <w:t>intangible assets, such as acquisition of a domain name.</w:t>
      </w:r>
    </w:p>
    <w:p w:rsidR="00C152DC" w:rsidRDefault="00C152DC" w:rsidP="00C152DC">
      <w:pPr>
        <w:numPr>
          <w:ilvl w:val="1"/>
          <w:numId w:val="11"/>
        </w:numPr>
        <w:spacing w:after="120"/>
        <w:rPr>
          <w:rFonts w:ascii="Arial" w:hAnsi="Arial" w:cs="Arial"/>
          <w:sz w:val="22"/>
          <w:szCs w:val="22"/>
        </w:rPr>
      </w:pPr>
      <w:r w:rsidRPr="00BB4DDF">
        <w:rPr>
          <w:rFonts w:ascii="Arial" w:hAnsi="Arial" w:cs="Arial"/>
          <w:sz w:val="22"/>
          <w:szCs w:val="22"/>
        </w:rPr>
        <w:t>Avoid new complexities disguised as small business benefits, such as a deduction for domestic business income of qualified small businesses</w:t>
      </w:r>
      <w:r>
        <w:rPr>
          <w:rFonts w:ascii="Arial" w:hAnsi="Arial" w:cs="Arial"/>
          <w:sz w:val="22"/>
          <w:szCs w:val="22"/>
        </w:rPr>
        <w:t xml:space="preserve">. Lower tax rates and simplicity are the best tax benefits. </w:t>
      </w:r>
    </w:p>
    <w:p w:rsidR="005A3EA6" w:rsidRDefault="005A3EA6" w:rsidP="00C152DC">
      <w:pPr>
        <w:numPr>
          <w:ilvl w:val="1"/>
          <w:numId w:val="11"/>
        </w:numPr>
        <w:spacing w:after="120"/>
        <w:rPr>
          <w:rFonts w:ascii="Arial" w:hAnsi="Arial" w:cs="Arial"/>
          <w:sz w:val="22"/>
          <w:szCs w:val="22"/>
        </w:rPr>
      </w:pPr>
      <w:r>
        <w:rPr>
          <w:rFonts w:ascii="Arial" w:hAnsi="Arial" w:cs="Arial"/>
          <w:sz w:val="22"/>
          <w:szCs w:val="22"/>
        </w:rPr>
        <w:t>Find ways to consolidate duplicative provisions, such as multiple retirement plan options.</w:t>
      </w:r>
    </w:p>
    <w:p w:rsidR="005A3EA6" w:rsidRPr="00C152DC" w:rsidRDefault="005A3EA6" w:rsidP="00C152DC">
      <w:pPr>
        <w:numPr>
          <w:ilvl w:val="1"/>
          <w:numId w:val="11"/>
        </w:numPr>
        <w:spacing w:after="120"/>
        <w:rPr>
          <w:rFonts w:ascii="Arial" w:hAnsi="Arial" w:cs="Arial"/>
          <w:sz w:val="22"/>
          <w:szCs w:val="22"/>
        </w:rPr>
      </w:pPr>
      <w:r>
        <w:rPr>
          <w:rFonts w:ascii="Arial" w:hAnsi="Arial" w:cs="Arial"/>
          <w:sz w:val="22"/>
          <w:szCs w:val="22"/>
        </w:rPr>
        <w:t>Require administrative alternatives to compliance with regulations found to exceed a minimum complexity tolerance level for small businesses.</w:t>
      </w:r>
    </w:p>
    <w:p w:rsidR="00BB4DDF" w:rsidRDefault="006C0198" w:rsidP="00BB4DDF">
      <w:pPr>
        <w:numPr>
          <w:ilvl w:val="0"/>
          <w:numId w:val="11"/>
        </w:numPr>
        <w:spacing w:after="120"/>
        <w:rPr>
          <w:rFonts w:ascii="Arial" w:hAnsi="Arial" w:cs="Arial"/>
          <w:sz w:val="22"/>
          <w:szCs w:val="22"/>
        </w:rPr>
      </w:pPr>
      <w:r>
        <w:rPr>
          <w:rFonts w:ascii="Arial" w:hAnsi="Arial" w:cs="Arial"/>
          <w:sz w:val="22"/>
          <w:szCs w:val="22"/>
        </w:rPr>
        <w:t>For the Senate Finance Committee’s “blank slate” approach to tax reform, let them know that key</w:t>
      </w:r>
      <w:r w:rsidR="00BB4DDF">
        <w:rPr>
          <w:rFonts w:ascii="Arial" w:hAnsi="Arial" w:cs="Arial"/>
          <w:sz w:val="22"/>
          <w:szCs w:val="22"/>
        </w:rPr>
        <w:t xml:space="preserve"> tax expenditures for small businesses </w:t>
      </w:r>
      <w:r w:rsidR="00C152DC">
        <w:rPr>
          <w:rFonts w:ascii="Arial" w:hAnsi="Arial" w:cs="Arial"/>
          <w:sz w:val="22"/>
          <w:szCs w:val="22"/>
        </w:rPr>
        <w:t>include</w:t>
      </w:r>
      <w:r w:rsidR="00BB4DDF">
        <w:rPr>
          <w:rFonts w:ascii="Arial" w:hAnsi="Arial" w:cs="Arial"/>
          <w:sz w:val="22"/>
          <w:szCs w:val="22"/>
        </w:rPr>
        <w:t xml:space="preserve"> use of </w:t>
      </w:r>
      <w:r w:rsidR="007949CB">
        <w:rPr>
          <w:rFonts w:ascii="Arial" w:hAnsi="Arial" w:cs="Arial"/>
          <w:sz w:val="22"/>
          <w:szCs w:val="22"/>
        </w:rPr>
        <w:t>the cash method,</w:t>
      </w:r>
      <w:r w:rsidR="007949CB">
        <w:rPr>
          <w:rStyle w:val="FootnoteReference"/>
          <w:rFonts w:ascii="Arial" w:hAnsi="Arial" w:cs="Arial"/>
          <w:sz w:val="22"/>
          <w:szCs w:val="22"/>
        </w:rPr>
        <w:footnoteReference w:id="2"/>
      </w:r>
      <w:r w:rsidR="007949CB">
        <w:rPr>
          <w:rFonts w:ascii="Arial" w:hAnsi="Arial" w:cs="Arial"/>
          <w:sz w:val="22"/>
          <w:szCs w:val="22"/>
        </w:rPr>
        <w:t xml:space="preserve"> </w:t>
      </w:r>
      <w:r w:rsidR="00C535CB">
        <w:rPr>
          <w:rFonts w:ascii="Arial" w:hAnsi="Arial" w:cs="Arial"/>
          <w:sz w:val="22"/>
          <w:szCs w:val="22"/>
        </w:rPr>
        <w:t>Section 179</w:t>
      </w:r>
      <w:r w:rsidR="00186487">
        <w:rPr>
          <w:rFonts w:ascii="Arial" w:hAnsi="Arial" w:cs="Arial"/>
          <w:sz w:val="22"/>
          <w:szCs w:val="22"/>
        </w:rPr>
        <w:t xml:space="preserve"> expensing</w:t>
      </w:r>
      <w:r w:rsidR="00C535CB">
        <w:rPr>
          <w:rFonts w:ascii="Arial" w:hAnsi="Arial" w:cs="Arial"/>
          <w:sz w:val="22"/>
          <w:szCs w:val="22"/>
        </w:rPr>
        <w:t xml:space="preserve">, </w:t>
      </w:r>
      <w:r w:rsidR="005A3EA6">
        <w:rPr>
          <w:rFonts w:ascii="Arial" w:hAnsi="Arial" w:cs="Arial"/>
          <w:sz w:val="22"/>
          <w:szCs w:val="22"/>
        </w:rPr>
        <w:t xml:space="preserve">retirement plan provisions, </w:t>
      </w:r>
      <w:r w:rsidR="007949CB">
        <w:rPr>
          <w:rFonts w:ascii="Arial" w:hAnsi="Arial" w:cs="Arial"/>
          <w:sz w:val="22"/>
          <w:szCs w:val="22"/>
        </w:rPr>
        <w:t xml:space="preserve">and the self-employed medical insurance deduction. </w:t>
      </w:r>
    </w:p>
    <w:p w:rsidR="00C535CB" w:rsidRDefault="00186487" w:rsidP="00BB4DDF">
      <w:pPr>
        <w:numPr>
          <w:ilvl w:val="0"/>
          <w:numId w:val="11"/>
        </w:numPr>
        <w:spacing w:after="120"/>
        <w:rPr>
          <w:rFonts w:ascii="Arial" w:hAnsi="Arial" w:cs="Arial"/>
          <w:sz w:val="22"/>
          <w:szCs w:val="22"/>
        </w:rPr>
      </w:pPr>
      <w:r>
        <w:rPr>
          <w:rFonts w:ascii="Arial" w:hAnsi="Arial" w:cs="Arial"/>
          <w:sz w:val="22"/>
          <w:szCs w:val="22"/>
        </w:rPr>
        <w:t xml:space="preserve">Once you have draft legislation, get input </w:t>
      </w:r>
      <w:r w:rsidR="00C535CB">
        <w:rPr>
          <w:rFonts w:ascii="Arial" w:hAnsi="Arial" w:cs="Arial"/>
          <w:sz w:val="22"/>
          <w:szCs w:val="22"/>
        </w:rPr>
        <w:t>from small businesses and tax practitioners.</w:t>
      </w:r>
    </w:p>
    <w:p w:rsidR="00C535CB" w:rsidRDefault="00C535CB" w:rsidP="00BB4DDF">
      <w:pPr>
        <w:numPr>
          <w:ilvl w:val="0"/>
          <w:numId w:val="11"/>
        </w:numPr>
        <w:spacing w:after="120"/>
        <w:rPr>
          <w:rFonts w:ascii="Arial" w:hAnsi="Arial" w:cs="Arial"/>
          <w:sz w:val="22"/>
          <w:szCs w:val="22"/>
        </w:rPr>
      </w:pPr>
      <w:r>
        <w:rPr>
          <w:rFonts w:ascii="Arial" w:hAnsi="Arial" w:cs="Arial"/>
          <w:sz w:val="22"/>
          <w:szCs w:val="22"/>
        </w:rPr>
        <w:t>Pursue multistate tax reforms that will help small businesses such as ones to simplify and clarify payroll requirements for virtual and mobile employees</w:t>
      </w:r>
      <w:r w:rsidR="00C152DC">
        <w:rPr>
          <w:rFonts w:ascii="Arial" w:hAnsi="Arial" w:cs="Arial"/>
          <w:sz w:val="22"/>
          <w:szCs w:val="22"/>
        </w:rPr>
        <w:t>,</w:t>
      </w:r>
      <w:r>
        <w:rPr>
          <w:rFonts w:ascii="Arial" w:hAnsi="Arial" w:cs="Arial"/>
          <w:sz w:val="22"/>
          <w:szCs w:val="22"/>
        </w:rPr>
        <w:t xml:space="preserve"> as well as income and sales tax nexus rules.</w:t>
      </w:r>
    </w:p>
    <w:p w:rsidR="007949CB" w:rsidRPr="00BB4DDF" w:rsidRDefault="007949CB" w:rsidP="007949CB">
      <w:pPr>
        <w:numPr>
          <w:ilvl w:val="0"/>
          <w:numId w:val="11"/>
        </w:numPr>
        <w:spacing w:after="120"/>
        <w:rPr>
          <w:rFonts w:ascii="Arial" w:hAnsi="Arial" w:cs="Arial"/>
          <w:sz w:val="22"/>
          <w:szCs w:val="22"/>
        </w:rPr>
      </w:pPr>
      <w:r w:rsidRPr="00BB4DDF">
        <w:rPr>
          <w:rFonts w:ascii="Arial" w:hAnsi="Arial" w:cs="Arial"/>
          <w:sz w:val="22"/>
          <w:szCs w:val="22"/>
        </w:rPr>
        <w:t xml:space="preserve">Evaluate all proposals for change against </w:t>
      </w:r>
      <w:r>
        <w:rPr>
          <w:rFonts w:ascii="Arial" w:hAnsi="Arial" w:cs="Arial"/>
          <w:sz w:val="22"/>
          <w:szCs w:val="22"/>
        </w:rPr>
        <w:t xml:space="preserve">the </w:t>
      </w:r>
      <w:r w:rsidR="005E1B11">
        <w:rPr>
          <w:rFonts w:ascii="Arial" w:hAnsi="Arial" w:cs="Arial"/>
          <w:sz w:val="22"/>
          <w:szCs w:val="22"/>
        </w:rPr>
        <w:t>principles of good tax policy.</w:t>
      </w:r>
      <w:r w:rsidR="005E1B11">
        <w:rPr>
          <w:rStyle w:val="FootnoteReference"/>
          <w:rFonts w:ascii="Arial" w:hAnsi="Arial" w:cs="Arial"/>
          <w:sz w:val="22"/>
          <w:szCs w:val="22"/>
        </w:rPr>
        <w:footnoteReference w:id="3"/>
      </w:r>
    </w:p>
    <w:p w:rsidR="007949CB" w:rsidRDefault="007949CB" w:rsidP="007949CB">
      <w:pPr>
        <w:spacing w:after="120"/>
        <w:ind w:left="360"/>
        <w:rPr>
          <w:rFonts w:ascii="Arial" w:hAnsi="Arial" w:cs="Arial"/>
          <w:sz w:val="22"/>
          <w:szCs w:val="22"/>
        </w:rPr>
      </w:pPr>
    </w:p>
    <w:p w:rsidR="007949CB" w:rsidRPr="00BB4DDF" w:rsidRDefault="007949CB" w:rsidP="007949CB">
      <w:pPr>
        <w:spacing w:after="120"/>
        <w:ind w:left="360"/>
        <w:rPr>
          <w:rFonts w:ascii="Arial" w:hAnsi="Arial" w:cs="Arial"/>
          <w:sz w:val="22"/>
          <w:szCs w:val="22"/>
        </w:rPr>
      </w:pPr>
      <w:r>
        <w:rPr>
          <w:rFonts w:ascii="Arial" w:hAnsi="Arial" w:cs="Arial"/>
          <w:sz w:val="22"/>
          <w:szCs w:val="22"/>
        </w:rPr>
        <w:t>Thank you. I look forward to the discussion.</w:t>
      </w:r>
    </w:p>
    <w:p w:rsidR="00EA1E5E" w:rsidRPr="0055303B" w:rsidRDefault="00EA1E5E" w:rsidP="00BE4511">
      <w:pPr>
        <w:spacing w:after="120"/>
        <w:rPr>
          <w:rFonts w:ascii="Arial" w:hAnsi="Arial" w:cs="Arial"/>
        </w:rPr>
      </w:pPr>
    </w:p>
    <w:sectPr w:rsidR="00EA1E5E" w:rsidRPr="0055303B" w:rsidSect="00E90365">
      <w:headerReference w:type="default" r:id="rId11"/>
      <w:footerReference w:type="first" r:id="rId12"/>
      <w:pgSz w:w="12240" w:h="15840" w:code="1"/>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79" w:rsidRDefault="00107079">
      <w:r>
        <w:separator/>
      </w:r>
    </w:p>
  </w:endnote>
  <w:endnote w:type="continuationSeparator" w:id="0">
    <w:p w:rsidR="00107079" w:rsidRDefault="0010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65" w:rsidRPr="00CE4362" w:rsidRDefault="00E90365">
    <w:pPr>
      <w:pStyle w:val="Footer"/>
      <w:rPr>
        <w:sz w:val="20"/>
        <w:szCs w:val="20"/>
      </w:rPr>
    </w:pPr>
    <w:smartTag w:uri="urn:schemas-microsoft-com:office:smarttags" w:element="PersonName">
      <w:r w:rsidRPr="00CE4362">
        <w:rPr>
          <w:sz w:val="20"/>
          <w:szCs w:val="20"/>
        </w:rPr>
        <w:t xml:space="preserve">Annette </w:t>
      </w:r>
      <w:proofErr w:type="spellStart"/>
      <w:r w:rsidRPr="00CE4362">
        <w:rPr>
          <w:sz w:val="20"/>
          <w:szCs w:val="20"/>
        </w:rPr>
        <w:t>Nellen</w:t>
      </w:r>
    </w:smartTag>
    <w:proofErr w:type="spellEnd"/>
    <w:r w:rsidRPr="00CE4362">
      <w:rPr>
        <w:sz w:val="20"/>
        <w:szCs w:val="20"/>
      </w:rPr>
      <w:t xml:space="preserve">, </w:t>
    </w:r>
    <w:smartTag w:uri="urn:schemas-microsoft-com:office:smarttags" w:element="PersonName">
      <w:r w:rsidRPr="00CE4362">
        <w:rPr>
          <w:sz w:val="20"/>
          <w:szCs w:val="20"/>
        </w:rPr>
        <w:t>annette.nellen@sjsu.edu</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79" w:rsidRDefault="00107079">
      <w:r>
        <w:separator/>
      </w:r>
    </w:p>
  </w:footnote>
  <w:footnote w:type="continuationSeparator" w:id="0">
    <w:p w:rsidR="00107079" w:rsidRDefault="00107079">
      <w:r>
        <w:continuationSeparator/>
      </w:r>
    </w:p>
  </w:footnote>
  <w:footnote w:id="1">
    <w:p w:rsidR="00E90365" w:rsidRDefault="00E90365" w:rsidP="003D11C6">
      <w:pPr>
        <w:pStyle w:val="FootnoteText"/>
        <w:ind w:left="180" w:hanging="180"/>
      </w:pPr>
      <w:r>
        <w:rPr>
          <w:rStyle w:val="FootnoteReference"/>
        </w:rPr>
        <w:footnoteRef/>
      </w:r>
      <w:r>
        <w:t xml:space="preserve"> This URL is to a website maintained by </w:t>
      </w:r>
      <w:smartTag w:uri="urn:schemas-microsoft-com:office:smarttags" w:element="PersonName">
        <w:r>
          <w:t xml:space="preserve">Annette </w:t>
        </w:r>
        <w:proofErr w:type="spellStart"/>
        <w:r>
          <w:t>Nellen</w:t>
        </w:r>
      </w:smartTag>
      <w:proofErr w:type="spellEnd"/>
      <w:r>
        <w:t xml:space="preserve"> for the purposes of promoting modernization of tax systems and consideration of the principles of good tax policy, with opportunity for readers to post comments. Views represented at this website are Professor </w:t>
      </w:r>
      <w:proofErr w:type="spellStart"/>
      <w:r>
        <w:t>Nellen's</w:t>
      </w:r>
      <w:proofErr w:type="spellEnd"/>
      <w:r>
        <w:t xml:space="preserve"> views only and may not represent those of her employer or professional organizations of which she is a member.</w:t>
      </w:r>
    </w:p>
  </w:footnote>
  <w:footnote w:id="2">
    <w:p w:rsidR="007949CB" w:rsidRDefault="007949CB" w:rsidP="007949CB">
      <w:pPr>
        <w:pStyle w:val="FootnoteText"/>
        <w:ind w:left="180" w:hanging="180"/>
      </w:pPr>
      <w:r>
        <w:rPr>
          <w:rStyle w:val="FootnoteReference"/>
        </w:rPr>
        <w:footnoteRef/>
      </w:r>
      <w:r>
        <w:t xml:space="preserve"> Note that the Joint Committee on Taxation treats use of the cash method as </w:t>
      </w:r>
      <w:proofErr w:type="gramStart"/>
      <w:r>
        <w:t>a tax</w:t>
      </w:r>
      <w:proofErr w:type="gramEnd"/>
      <w:r>
        <w:t xml:space="preserve"> expenditure, but OMB treats it as part of the normal income tax structure.</w:t>
      </w:r>
    </w:p>
  </w:footnote>
  <w:footnote w:id="3">
    <w:p w:rsidR="005E1B11" w:rsidRDefault="005E1B11">
      <w:pPr>
        <w:pStyle w:val="FootnoteText"/>
      </w:pPr>
      <w:r>
        <w:rPr>
          <w:rStyle w:val="FootnoteReference"/>
        </w:rPr>
        <w:footnoteRef/>
      </w:r>
      <w:r>
        <w:t xml:space="preserve"> See </w:t>
      </w:r>
      <w:hyperlink r:id="rId1" w:history="1">
        <w:r w:rsidRPr="00AD509D">
          <w:rPr>
            <w:rStyle w:val="Hyperlink"/>
          </w:rPr>
          <w:t>http://www.cob.sjsu.edu/facstaff/nellen_a/TaxReform/PolicyApproachToAnalyzingTaxSystems.pdf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65" w:rsidRDefault="00E90365" w:rsidP="003D11C6">
    <w:pPr>
      <w:pStyle w:val="Header"/>
      <w:jc w:val="right"/>
    </w:pPr>
    <w:r>
      <w:rPr>
        <w:rStyle w:val="PageNumber"/>
      </w:rPr>
      <w:fldChar w:fldCharType="begin"/>
    </w:r>
    <w:r>
      <w:rPr>
        <w:rStyle w:val="PageNumber"/>
      </w:rPr>
      <w:instrText xml:space="preserve"> PAGE </w:instrText>
    </w:r>
    <w:r>
      <w:rPr>
        <w:rStyle w:val="PageNumber"/>
      </w:rPr>
      <w:fldChar w:fldCharType="separate"/>
    </w:r>
    <w:r w:rsidR="008A67E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45"/>
    <w:multiLevelType w:val="hybridMultilevel"/>
    <w:tmpl w:val="4C441C2A"/>
    <w:lvl w:ilvl="0" w:tplc="866A0EDA">
      <w:start w:val="8"/>
      <w:numFmt w:val="upp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0597B"/>
    <w:multiLevelType w:val="multilevel"/>
    <w:tmpl w:val="1C94C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680843"/>
    <w:multiLevelType w:val="hybridMultilevel"/>
    <w:tmpl w:val="6644A9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02936"/>
    <w:multiLevelType w:val="multilevel"/>
    <w:tmpl w:val="AD82E88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1BC20C1B"/>
    <w:multiLevelType w:val="hybridMultilevel"/>
    <w:tmpl w:val="50ECEC56"/>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780"/>
        </w:tabs>
        <w:ind w:left="780" w:hanging="360"/>
      </w:pPr>
      <w:rPr>
        <w:rFonts w:ascii="Symbol" w:hAnsi="Symbol" w:hint="default"/>
      </w:rPr>
    </w:lvl>
    <w:lvl w:ilvl="2" w:tplc="E572DBFE">
      <w:start w:val="6"/>
      <w:numFmt w:val="upperLetter"/>
      <w:lvlText w:val="%3."/>
      <w:lvlJc w:val="left"/>
      <w:pPr>
        <w:tabs>
          <w:tab w:val="num" w:pos="2220"/>
        </w:tabs>
        <w:ind w:left="2220" w:hanging="360"/>
      </w:pPr>
      <w:rPr>
        <w:rFont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BF54A90"/>
    <w:multiLevelType w:val="hybridMultilevel"/>
    <w:tmpl w:val="966676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873C9E"/>
    <w:multiLevelType w:val="hybridMultilevel"/>
    <w:tmpl w:val="5248E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B3217"/>
    <w:multiLevelType w:val="hybridMultilevel"/>
    <w:tmpl w:val="7E34FE1E"/>
    <w:lvl w:ilvl="0" w:tplc="04090015">
      <w:start w:val="1"/>
      <w:numFmt w:val="upp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4046012F"/>
    <w:multiLevelType w:val="hybridMultilevel"/>
    <w:tmpl w:val="B0D8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945AF4"/>
    <w:multiLevelType w:val="hybridMultilevel"/>
    <w:tmpl w:val="EE2E1184"/>
    <w:lvl w:ilvl="0" w:tplc="93F48742">
      <w:start w:val="10"/>
      <w:numFmt w:val="upp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9A27A7"/>
    <w:multiLevelType w:val="hybridMultilevel"/>
    <w:tmpl w:val="42C6FA48"/>
    <w:lvl w:ilvl="0" w:tplc="04090001">
      <w:start w:val="1"/>
      <w:numFmt w:val="bullet"/>
      <w:lvlText w:val=""/>
      <w:lvlJc w:val="left"/>
      <w:pPr>
        <w:tabs>
          <w:tab w:val="num" w:pos="720"/>
        </w:tabs>
        <w:ind w:left="720" w:hanging="360"/>
      </w:pPr>
      <w:rPr>
        <w:rFonts w:ascii="Symbol" w:hAnsi="Symbol" w:hint="default"/>
      </w:rPr>
    </w:lvl>
    <w:lvl w:ilvl="1" w:tplc="19E2350A">
      <w:start w:val="4"/>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10"/>
  </w:num>
  <w:num w:numId="6">
    <w:abstractNumId w:val="4"/>
  </w:num>
  <w:num w:numId="7">
    <w:abstractNumId w:val="0"/>
  </w:num>
  <w:num w:numId="8">
    <w:abstractNumId w:val="5"/>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62"/>
    <w:rsid w:val="00020856"/>
    <w:rsid w:val="0004731D"/>
    <w:rsid w:val="000E45B2"/>
    <w:rsid w:val="00107079"/>
    <w:rsid w:val="00126D7E"/>
    <w:rsid w:val="00186487"/>
    <w:rsid w:val="001D367E"/>
    <w:rsid w:val="00203BAB"/>
    <w:rsid w:val="00226202"/>
    <w:rsid w:val="00256D7A"/>
    <w:rsid w:val="003539F5"/>
    <w:rsid w:val="0037070B"/>
    <w:rsid w:val="003D11C6"/>
    <w:rsid w:val="004239A2"/>
    <w:rsid w:val="004816A0"/>
    <w:rsid w:val="004979AA"/>
    <w:rsid w:val="004E35D2"/>
    <w:rsid w:val="00547509"/>
    <w:rsid w:val="0055303B"/>
    <w:rsid w:val="005553A5"/>
    <w:rsid w:val="0057581C"/>
    <w:rsid w:val="00577B91"/>
    <w:rsid w:val="00584D40"/>
    <w:rsid w:val="0059391E"/>
    <w:rsid w:val="005A3EA6"/>
    <w:rsid w:val="005E1B11"/>
    <w:rsid w:val="006B16BC"/>
    <w:rsid w:val="006C0198"/>
    <w:rsid w:val="007949CB"/>
    <w:rsid w:val="007D501E"/>
    <w:rsid w:val="00893AB1"/>
    <w:rsid w:val="008A67EB"/>
    <w:rsid w:val="009041DD"/>
    <w:rsid w:val="00967ADE"/>
    <w:rsid w:val="009B5A09"/>
    <w:rsid w:val="009E3106"/>
    <w:rsid w:val="00A87437"/>
    <w:rsid w:val="00AC14EC"/>
    <w:rsid w:val="00B55EEB"/>
    <w:rsid w:val="00BB4DDF"/>
    <w:rsid w:val="00BC676C"/>
    <w:rsid w:val="00BE4511"/>
    <w:rsid w:val="00BF5623"/>
    <w:rsid w:val="00C152DC"/>
    <w:rsid w:val="00C4460F"/>
    <w:rsid w:val="00C535CB"/>
    <w:rsid w:val="00C6602B"/>
    <w:rsid w:val="00CE4362"/>
    <w:rsid w:val="00CF6F18"/>
    <w:rsid w:val="00D11BAF"/>
    <w:rsid w:val="00D7080C"/>
    <w:rsid w:val="00DA786D"/>
    <w:rsid w:val="00DD22B6"/>
    <w:rsid w:val="00E14611"/>
    <w:rsid w:val="00E467DF"/>
    <w:rsid w:val="00E763FD"/>
    <w:rsid w:val="00E90365"/>
    <w:rsid w:val="00EA1E5E"/>
    <w:rsid w:val="00EC08C5"/>
    <w:rsid w:val="00F47585"/>
    <w:rsid w:val="00F71C7D"/>
    <w:rsid w:val="00FB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4362"/>
    <w:pPr>
      <w:tabs>
        <w:tab w:val="center" w:pos="4320"/>
        <w:tab w:val="right" w:pos="8640"/>
      </w:tabs>
    </w:pPr>
  </w:style>
  <w:style w:type="paragraph" w:styleId="Footer">
    <w:name w:val="footer"/>
    <w:basedOn w:val="Normal"/>
    <w:rsid w:val="00CE4362"/>
    <w:pPr>
      <w:tabs>
        <w:tab w:val="center" w:pos="4320"/>
        <w:tab w:val="right" w:pos="8640"/>
      </w:tabs>
    </w:pPr>
  </w:style>
  <w:style w:type="character" w:styleId="Hyperlink">
    <w:name w:val="Hyperlink"/>
    <w:rsid w:val="005553A5"/>
    <w:rPr>
      <w:color w:val="0000FF"/>
      <w:u w:val="single"/>
    </w:rPr>
  </w:style>
  <w:style w:type="character" w:styleId="Emphasis">
    <w:name w:val="Emphasis"/>
    <w:qFormat/>
    <w:rsid w:val="00EC08C5"/>
    <w:rPr>
      <w:i/>
      <w:iCs/>
    </w:rPr>
  </w:style>
  <w:style w:type="paragraph" w:styleId="FootnoteText">
    <w:name w:val="footnote text"/>
    <w:basedOn w:val="Normal"/>
    <w:semiHidden/>
    <w:rsid w:val="0004731D"/>
    <w:rPr>
      <w:sz w:val="20"/>
      <w:szCs w:val="20"/>
    </w:rPr>
  </w:style>
  <w:style w:type="character" w:styleId="FootnoteReference">
    <w:name w:val="footnote reference"/>
    <w:semiHidden/>
    <w:rsid w:val="0004731D"/>
    <w:rPr>
      <w:vertAlign w:val="superscript"/>
    </w:rPr>
  </w:style>
  <w:style w:type="character" w:styleId="FollowedHyperlink">
    <w:name w:val="FollowedHyperlink"/>
    <w:rsid w:val="0004731D"/>
    <w:rPr>
      <w:color w:val="800080"/>
      <w:u w:val="single"/>
    </w:rPr>
  </w:style>
  <w:style w:type="character" w:styleId="PageNumber">
    <w:name w:val="page number"/>
    <w:basedOn w:val="DefaultParagraphFont"/>
    <w:rsid w:val="003D11C6"/>
  </w:style>
  <w:style w:type="paragraph" w:styleId="ListParagraph">
    <w:name w:val="List Paragraph"/>
    <w:basedOn w:val="Normal"/>
    <w:uiPriority w:val="34"/>
    <w:qFormat/>
    <w:rsid w:val="00B55EEB"/>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4362"/>
    <w:pPr>
      <w:tabs>
        <w:tab w:val="center" w:pos="4320"/>
        <w:tab w:val="right" w:pos="8640"/>
      </w:tabs>
    </w:pPr>
  </w:style>
  <w:style w:type="paragraph" w:styleId="Footer">
    <w:name w:val="footer"/>
    <w:basedOn w:val="Normal"/>
    <w:rsid w:val="00CE4362"/>
    <w:pPr>
      <w:tabs>
        <w:tab w:val="center" w:pos="4320"/>
        <w:tab w:val="right" w:pos="8640"/>
      </w:tabs>
    </w:pPr>
  </w:style>
  <w:style w:type="character" w:styleId="Hyperlink">
    <w:name w:val="Hyperlink"/>
    <w:rsid w:val="005553A5"/>
    <w:rPr>
      <w:color w:val="0000FF"/>
      <w:u w:val="single"/>
    </w:rPr>
  </w:style>
  <w:style w:type="character" w:styleId="Emphasis">
    <w:name w:val="Emphasis"/>
    <w:qFormat/>
    <w:rsid w:val="00EC08C5"/>
    <w:rPr>
      <w:i/>
      <w:iCs/>
    </w:rPr>
  </w:style>
  <w:style w:type="paragraph" w:styleId="FootnoteText">
    <w:name w:val="footnote text"/>
    <w:basedOn w:val="Normal"/>
    <w:semiHidden/>
    <w:rsid w:val="0004731D"/>
    <w:rPr>
      <w:sz w:val="20"/>
      <w:szCs w:val="20"/>
    </w:rPr>
  </w:style>
  <w:style w:type="character" w:styleId="FootnoteReference">
    <w:name w:val="footnote reference"/>
    <w:semiHidden/>
    <w:rsid w:val="0004731D"/>
    <w:rPr>
      <w:vertAlign w:val="superscript"/>
    </w:rPr>
  </w:style>
  <w:style w:type="character" w:styleId="FollowedHyperlink">
    <w:name w:val="FollowedHyperlink"/>
    <w:rsid w:val="0004731D"/>
    <w:rPr>
      <w:color w:val="800080"/>
      <w:u w:val="single"/>
    </w:rPr>
  </w:style>
  <w:style w:type="character" w:styleId="PageNumber">
    <w:name w:val="page number"/>
    <w:basedOn w:val="DefaultParagraphFont"/>
    <w:rsid w:val="003D11C6"/>
  </w:style>
  <w:style w:type="paragraph" w:styleId="ListParagraph">
    <w:name w:val="List Paragraph"/>
    <w:basedOn w:val="Normal"/>
    <w:uiPriority w:val="34"/>
    <w:qFormat/>
    <w:rsid w:val="00B55EE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793">
      <w:bodyDiv w:val="1"/>
      <w:marLeft w:val="0"/>
      <w:marRight w:val="0"/>
      <w:marTop w:val="0"/>
      <w:marBottom w:val="0"/>
      <w:divBdr>
        <w:top w:val="none" w:sz="0" w:space="0" w:color="auto"/>
        <w:left w:val="none" w:sz="0" w:space="0" w:color="auto"/>
        <w:bottom w:val="none" w:sz="0" w:space="0" w:color="auto"/>
        <w:right w:val="none" w:sz="0" w:space="0" w:color="auto"/>
      </w:divBdr>
    </w:div>
    <w:div w:id="114833902">
      <w:bodyDiv w:val="1"/>
      <w:marLeft w:val="0"/>
      <w:marRight w:val="0"/>
      <w:marTop w:val="0"/>
      <w:marBottom w:val="0"/>
      <w:divBdr>
        <w:top w:val="none" w:sz="0" w:space="0" w:color="auto"/>
        <w:left w:val="none" w:sz="0" w:space="0" w:color="auto"/>
        <w:bottom w:val="none" w:sz="0" w:space="0" w:color="auto"/>
        <w:right w:val="none" w:sz="0" w:space="0" w:color="auto"/>
      </w:divBdr>
    </w:div>
    <w:div w:id="289020881">
      <w:bodyDiv w:val="1"/>
      <w:marLeft w:val="0"/>
      <w:marRight w:val="0"/>
      <w:marTop w:val="0"/>
      <w:marBottom w:val="0"/>
      <w:divBdr>
        <w:top w:val="none" w:sz="0" w:space="0" w:color="auto"/>
        <w:left w:val="none" w:sz="0" w:space="0" w:color="auto"/>
        <w:bottom w:val="none" w:sz="0" w:space="0" w:color="auto"/>
        <w:right w:val="none" w:sz="0" w:space="0" w:color="auto"/>
      </w:divBdr>
      <w:divsChild>
        <w:div w:id="421144376">
          <w:marLeft w:val="0"/>
          <w:marRight w:val="0"/>
          <w:marTop w:val="0"/>
          <w:marBottom w:val="0"/>
          <w:divBdr>
            <w:top w:val="none" w:sz="0" w:space="0" w:color="auto"/>
            <w:left w:val="none" w:sz="0" w:space="0" w:color="auto"/>
            <w:bottom w:val="none" w:sz="0" w:space="0" w:color="auto"/>
            <w:right w:val="none" w:sz="0" w:space="0" w:color="auto"/>
          </w:divBdr>
          <w:divsChild>
            <w:div w:id="1172331227">
              <w:marLeft w:val="0"/>
              <w:marRight w:val="0"/>
              <w:marTop w:val="0"/>
              <w:marBottom w:val="0"/>
              <w:divBdr>
                <w:top w:val="none" w:sz="0" w:space="0" w:color="auto"/>
                <w:left w:val="none" w:sz="0" w:space="0" w:color="auto"/>
                <w:bottom w:val="none" w:sz="0" w:space="0" w:color="auto"/>
                <w:right w:val="none" w:sz="0" w:space="0" w:color="auto"/>
              </w:divBdr>
              <w:divsChild>
                <w:div w:id="422725509">
                  <w:marLeft w:val="0"/>
                  <w:marRight w:val="0"/>
                  <w:marTop w:val="0"/>
                  <w:marBottom w:val="0"/>
                  <w:divBdr>
                    <w:top w:val="none" w:sz="0" w:space="0" w:color="auto"/>
                    <w:left w:val="none" w:sz="0" w:space="0" w:color="auto"/>
                    <w:bottom w:val="none" w:sz="0" w:space="0" w:color="auto"/>
                    <w:right w:val="none" w:sz="0" w:space="0" w:color="auto"/>
                  </w:divBdr>
                  <w:divsChild>
                    <w:div w:id="420183817">
                      <w:marLeft w:val="0"/>
                      <w:marRight w:val="0"/>
                      <w:marTop w:val="0"/>
                      <w:marBottom w:val="0"/>
                      <w:divBdr>
                        <w:top w:val="none" w:sz="0" w:space="0" w:color="auto"/>
                        <w:left w:val="none" w:sz="0" w:space="0" w:color="auto"/>
                        <w:bottom w:val="none" w:sz="0" w:space="0" w:color="auto"/>
                        <w:right w:val="none" w:sz="0" w:space="0" w:color="auto"/>
                      </w:divBdr>
                      <w:divsChild>
                        <w:div w:id="343896846">
                          <w:marLeft w:val="0"/>
                          <w:marRight w:val="0"/>
                          <w:marTop w:val="0"/>
                          <w:marBottom w:val="0"/>
                          <w:divBdr>
                            <w:top w:val="none" w:sz="0" w:space="0" w:color="auto"/>
                            <w:left w:val="none" w:sz="0" w:space="0" w:color="auto"/>
                            <w:bottom w:val="none" w:sz="0" w:space="0" w:color="auto"/>
                            <w:right w:val="none" w:sz="0" w:space="0" w:color="auto"/>
                          </w:divBdr>
                          <w:divsChild>
                            <w:div w:id="18805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nette.nellen@sjsu.edu" TargetMode="External"/><Relationship Id="rId4" Type="http://schemas.microsoft.com/office/2007/relationships/stylesWithEffects" Target="stylesWithEffects.xml"/><Relationship Id="rId9" Type="http://schemas.openxmlformats.org/officeDocument/2006/relationships/hyperlink" Target="http://www.21stcenturytaxation.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b.sjsu.edu/facstaff/nellen_a/TaxReform/PolicyApproachToAnalyzingTaxSyste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C530-B6A7-4EAB-9AE3-87907183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Small Businesses and Tax Reform</vt:lpstr>
    </vt:vector>
  </TitlesOfParts>
  <Company>San Jose State University</Company>
  <LinksUpToDate>false</LinksUpToDate>
  <CharactersWithSpaces>3901</CharactersWithSpaces>
  <SharedDoc>false</SharedDoc>
  <HLinks>
    <vt:vector size="18" baseType="variant">
      <vt:variant>
        <vt:i4>5505078</vt:i4>
      </vt:variant>
      <vt:variant>
        <vt:i4>3</vt:i4>
      </vt:variant>
      <vt:variant>
        <vt:i4>0</vt:i4>
      </vt:variant>
      <vt:variant>
        <vt:i4>5</vt:i4>
      </vt:variant>
      <vt:variant>
        <vt:lpwstr>mailto:annette.nellen@sjsu.edu</vt:lpwstr>
      </vt:variant>
      <vt:variant>
        <vt:lpwstr/>
      </vt:variant>
      <vt:variant>
        <vt:i4>6422560</vt:i4>
      </vt:variant>
      <vt:variant>
        <vt:i4>0</vt:i4>
      </vt:variant>
      <vt:variant>
        <vt:i4>0</vt:i4>
      </vt:variant>
      <vt:variant>
        <vt:i4>5</vt:i4>
      </vt:variant>
      <vt:variant>
        <vt:lpwstr>http://www.21stcenturytaxation.com/</vt:lpwstr>
      </vt:variant>
      <vt:variant>
        <vt:lpwstr/>
      </vt:variant>
      <vt:variant>
        <vt:i4>5111853</vt:i4>
      </vt:variant>
      <vt:variant>
        <vt:i4>0</vt:i4>
      </vt:variant>
      <vt:variant>
        <vt:i4>0</vt:i4>
      </vt:variant>
      <vt:variant>
        <vt:i4>5</vt:i4>
      </vt:variant>
      <vt:variant>
        <vt:lpwstr>http://www.cob.sjsu.edu/facstaff/nellen_a/TaxReform/PolicyApproachToAnalyzingTaxSystems.pdf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Businesses and Tax Reform</dc:title>
  <dc:creator>Annette Nellen</dc:creator>
  <cp:lastModifiedBy>Palmer, Irma (SBC)</cp:lastModifiedBy>
  <cp:revision>2</cp:revision>
  <dcterms:created xsi:type="dcterms:W3CDTF">2013-07-17T21:19:00Z</dcterms:created>
  <dcterms:modified xsi:type="dcterms:W3CDTF">2013-07-17T21:19:00Z</dcterms:modified>
</cp:coreProperties>
</file>